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49" w:rsidRDefault="00ED7C49" w:rsidP="00ED7C49">
      <w:pPr>
        <w:spacing w:line="276" w:lineRule="auto"/>
        <w:rPr>
          <w:u w:val="single"/>
          <w:lang w:val="es-ES"/>
        </w:rPr>
      </w:pPr>
      <w:bookmarkStart w:id="0" w:name="_GoBack"/>
      <w:bookmarkEnd w:id="0"/>
    </w:p>
    <w:p w:rsidR="00ED7C49" w:rsidRDefault="00ED7C49" w:rsidP="00ED7C49">
      <w:pPr>
        <w:spacing w:line="276" w:lineRule="auto"/>
        <w:rPr>
          <w:u w:val="single"/>
          <w:lang w:val="es-ES"/>
        </w:rPr>
      </w:pPr>
    </w:p>
    <w:tbl>
      <w:tblPr>
        <w:tblStyle w:val="Tabellenraster"/>
        <w:tblW w:w="0" w:type="auto"/>
        <w:tblLook w:val="04A0" w:firstRow="1" w:lastRow="0" w:firstColumn="1" w:lastColumn="0" w:noHBand="0" w:noVBand="1"/>
      </w:tblPr>
      <w:tblGrid>
        <w:gridCol w:w="1323"/>
        <w:gridCol w:w="6650"/>
        <w:gridCol w:w="1083"/>
      </w:tblGrid>
      <w:tr w:rsidR="00A47F1E" w:rsidRPr="00CB2C4F" w:rsidTr="00016EBE">
        <w:tc>
          <w:tcPr>
            <w:tcW w:w="1323" w:type="dxa"/>
            <w:shd w:val="clear" w:color="auto" w:fill="D9D9D9" w:themeFill="background1" w:themeFillShade="D9"/>
          </w:tcPr>
          <w:p w:rsidR="00A47F1E" w:rsidRPr="00A1780B" w:rsidRDefault="00A47F1E" w:rsidP="00016EBE">
            <w:pPr>
              <w:spacing w:before="120"/>
              <w:jc w:val="center"/>
              <w:rPr>
                <w:rFonts w:ascii="Arial" w:hAnsi="Arial" w:cs="Arial"/>
                <w:bCs/>
                <w:i/>
                <w:caps/>
                <w:lang w:val="es-ES"/>
              </w:rPr>
            </w:pPr>
            <w:r w:rsidRPr="00A1780B">
              <w:rPr>
                <w:rFonts w:ascii="Arial" w:hAnsi="Arial" w:cs="Arial"/>
                <w:bCs/>
                <w:i/>
                <w:caps/>
                <w:lang w:val="es-ES"/>
              </w:rPr>
              <w:t>Arbeits-schritt</w:t>
            </w:r>
          </w:p>
        </w:tc>
        <w:tc>
          <w:tcPr>
            <w:tcW w:w="6797" w:type="dxa"/>
            <w:shd w:val="clear" w:color="auto" w:fill="D9D9D9" w:themeFill="background1" w:themeFillShade="D9"/>
          </w:tcPr>
          <w:p w:rsidR="00A47F1E" w:rsidRPr="00A1780B" w:rsidRDefault="00A47F1E" w:rsidP="00016EBE">
            <w:pPr>
              <w:pStyle w:val="Listenabsatz"/>
              <w:spacing w:before="120" w:after="0" w:line="240" w:lineRule="auto"/>
              <w:ind w:left="0"/>
              <w:contextualSpacing w:val="0"/>
              <w:jc w:val="center"/>
              <w:rPr>
                <w:rFonts w:ascii="Arial" w:hAnsi="Arial" w:cs="Arial"/>
                <w:bCs/>
                <w:i/>
                <w:caps/>
                <w:sz w:val="24"/>
                <w:szCs w:val="24"/>
                <w:highlight w:val="lightGray"/>
                <w:lang w:val="es-ES"/>
              </w:rPr>
            </w:pPr>
            <w:r w:rsidRPr="00A1780B">
              <w:rPr>
                <w:rFonts w:ascii="Arial" w:hAnsi="Arial" w:cs="Arial"/>
                <w:bCs/>
                <w:i/>
                <w:caps/>
                <w:sz w:val="24"/>
                <w:szCs w:val="24"/>
                <w:lang w:val="es-ES"/>
              </w:rPr>
              <w:t>Arbeitsauftrag</w:t>
            </w:r>
          </w:p>
        </w:tc>
        <w:tc>
          <w:tcPr>
            <w:tcW w:w="936" w:type="dxa"/>
            <w:shd w:val="clear" w:color="auto" w:fill="D9D9D9" w:themeFill="background1" w:themeFillShade="D9"/>
          </w:tcPr>
          <w:p w:rsidR="00A47F1E" w:rsidRPr="00A87F61" w:rsidRDefault="00A47F1E" w:rsidP="00016EBE">
            <w:pPr>
              <w:pStyle w:val="Listenabsatz"/>
              <w:spacing w:before="120" w:after="0" w:line="240" w:lineRule="auto"/>
              <w:ind w:left="0"/>
              <w:contextualSpacing w:val="0"/>
              <w:jc w:val="center"/>
              <w:rPr>
                <w:rFonts w:ascii="Arial" w:hAnsi="Arial" w:cs="Arial"/>
                <w:bCs/>
                <w:i/>
                <w:caps/>
                <w:sz w:val="24"/>
                <w:szCs w:val="24"/>
                <w:lang w:val="es-ES"/>
              </w:rPr>
            </w:pPr>
            <w:r w:rsidRPr="00A87F61">
              <w:rPr>
                <w:rFonts w:ascii="Arial" w:hAnsi="Arial" w:cs="Arial"/>
                <w:bCs/>
                <w:i/>
                <w:caps/>
                <w:sz w:val="24"/>
                <w:szCs w:val="24"/>
                <w:lang w:val="es-ES"/>
              </w:rPr>
              <w:t>hecho</w:t>
            </w:r>
          </w:p>
        </w:tc>
      </w:tr>
      <w:tr w:rsidR="00A47F1E" w:rsidRPr="00A2557F" w:rsidTr="00016EBE">
        <w:tc>
          <w:tcPr>
            <w:tcW w:w="1323" w:type="dxa"/>
            <w:shd w:val="clear" w:color="auto" w:fill="auto"/>
          </w:tcPr>
          <w:p w:rsidR="00E77CEA" w:rsidRDefault="00E77CEA" w:rsidP="00016EBE">
            <w:pPr>
              <w:spacing w:before="120" w:after="120"/>
              <w:jc w:val="center"/>
              <w:rPr>
                <w:rFonts w:ascii="Arial" w:hAnsi="Arial" w:cs="Arial"/>
                <w:b/>
                <w:i/>
                <w:sz w:val="22"/>
                <w:szCs w:val="22"/>
                <w:lang w:val="es-ES"/>
              </w:rPr>
            </w:pPr>
          </w:p>
          <w:p w:rsidR="00E77CEA" w:rsidRDefault="00E77CEA" w:rsidP="00016EBE">
            <w:pPr>
              <w:spacing w:before="120" w:after="120"/>
              <w:jc w:val="center"/>
              <w:rPr>
                <w:rFonts w:ascii="Arial" w:hAnsi="Arial" w:cs="Arial"/>
                <w:b/>
                <w:i/>
                <w:sz w:val="22"/>
                <w:szCs w:val="22"/>
                <w:lang w:val="es-ES"/>
              </w:rPr>
            </w:pPr>
          </w:p>
          <w:p w:rsidR="00A47F1E" w:rsidRPr="00A2557F" w:rsidRDefault="00A47F1E" w:rsidP="00016EBE">
            <w:pPr>
              <w:spacing w:before="120" w:after="120"/>
              <w:jc w:val="center"/>
              <w:rPr>
                <w:rFonts w:ascii="Arial" w:hAnsi="Arial" w:cs="Arial"/>
                <w:b/>
                <w:i/>
                <w:sz w:val="22"/>
                <w:szCs w:val="22"/>
                <w:lang w:val="es-ES"/>
              </w:rPr>
            </w:pPr>
            <w:r>
              <w:rPr>
                <w:rFonts w:ascii="Arial" w:hAnsi="Arial" w:cs="Arial"/>
                <w:b/>
                <w:i/>
                <w:sz w:val="22"/>
                <w:szCs w:val="22"/>
                <w:lang w:val="es-ES"/>
              </w:rPr>
              <w:t>4</w:t>
            </w:r>
          </w:p>
        </w:tc>
        <w:tc>
          <w:tcPr>
            <w:tcW w:w="6797" w:type="dxa"/>
            <w:shd w:val="clear" w:color="auto" w:fill="auto"/>
          </w:tcPr>
          <w:p w:rsidR="00A47F1E" w:rsidRPr="00C717B5" w:rsidRDefault="00A47F1E" w:rsidP="00E77CEA">
            <w:pPr>
              <w:spacing w:before="60" w:line="276" w:lineRule="auto"/>
              <w:rPr>
                <w:rFonts w:ascii="Arial" w:hAnsi="Arial" w:cs="Arial"/>
                <w:sz w:val="22"/>
                <w:szCs w:val="22"/>
                <w:lang w:val="es-ES"/>
              </w:rPr>
            </w:pPr>
            <w:r w:rsidRPr="00AB4DFF">
              <w:rPr>
                <w:rFonts w:ascii="Arial" w:hAnsi="Arial" w:cs="Arial"/>
                <w:sz w:val="22"/>
                <w:szCs w:val="22"/>
                <w:lang w:val="es-ES"/>
              </w:rPr>
              <w:t>Marca</w:t>
            </w:r>
            <w:r w:rsidRPr="00C717B5">
              <w:rPr>
                <w:rFonts w:ascii="Arial" w:hAnsi="Arial" w:cs="Arial"/>
                <w:sz w:val="22"/>
                <w:szCs w:val="22"/>
                <w:lang w:val="es-ES"/>
              </w:rPr>
              <w:t xml:space="preserve"> las expresiones que te parezcan útiles para tu propio artículo</w:t>
            </w:r>
            <w:r>
              <w:rPr>
                <w:rFonts w:ascii="Arial" w:hAnsi="Arial" w:cs="Arial"/>
                <w:sz w:val="22"/>
                <w:szCs w:val="22"/>
                <w:lang w:val="es-ES"/>
              </w:rPr>
              <w:t xml:space="preserve"> – </w:t>
            </w:r>
            <w:r w:rsidRPr="00C717B5">
              <w:rPr>
                <w:rFonts w:ascii="Arial" w:hAnsi="Arial" w:cs="Arial"/>
                <w:sz w:val="22"/>
                <w:szCs w:val="22"/>
                <w:lang w:val="es-ES"/>
              </w:rPr>
              <w:t xml:space="preserve">y </w:t>
            </w:r>
            <w:r>
              <w:rPr>
                <w:rFonts w:ascii="Arial" w:hAnsi="Arial" w:cs="Arial"/>
                <w:sz w:val="22"/>
                <w:szCs w:val="22"/>
                <w:lang w:val="es-ES"/>
              </w:rPr>
              <w:t>apúntalas después</w:t>
            </w:r>
            <w:r w:rsidRPr="00C717B5">
              <w:rPr>
                <w:rFonts w:ascii="Arial" w:hAnsi="Arial" w:cs="Arial"/>
                <w:sz w:val="22"/>
                <w:szCs w:val="22"/>
                <w:lang w:val="es-ES"/>
              </w:rPr>
              <w:t xml:space="preserve"> </w:t>
            </w:r>
            <w:r>
              <w:rPr>
                <w:rFonts w:ascii="Arial" w:hAnsi="Arial" w:cs="Arial"/>
                <w:sz w:val="22"/>
                <w:szCs w:val="22"/>
                <w:lang w:val="es-ES"/>
              </w:rPr>
              <w:t>en</w:t>
            </w:r>
            <w:r w:rsidRPr="00C717B5">
              <w:rPr>
                <w:rFonts w:ascii="Arial" w:hAnsi="Arial" w:cs="Arial"/>
                <w:sz w:val="22"/>
                <w:szCs w:val="22"/>
                <w:lang w:val="es-ES"/>
              </w:rPr>
              <w:t xml:space="preserve"> un glosario</w:t>
            </w:r>
            <w:r>
              <w:rPr>
                <w:rFonts w:ascii="Arial" w:hAnsi="Arial" w:cs="Arial"/>
                <w:sz w:val="22"/>
                <w:szCs w:val="22"/>
                <w:lang w:val="es-ES"/>
              </w:rPr>
              <w:t>.</w:t>
            </w:r>
          </w:p>
          <w:p w:rsidR="00A47F1E" w:rsidRPr="00C717B5" w:rsidRDefault="00A47F1E" w:rsidP="00A47F1E">
            <w:pPr>
              <w:widowControl w:val="0"/>
              <w:numPr>
                <w:ilvl w:val="0"/>
                <w:numId w:val="4"/>
              </w:numPr>
              <w:tabs>
                <w:tab w:val="left" w:pos="220"/>
                <w:tab w:val="left" w:pos="720"/>
              </w:tabs>
              <w:autoSpaceDE w:val="0"/>
              <w:autoSpaceDN w:val="0"/>
              <w:adjustRightInd w:val="0"/>
              <w:spacing w:line="276" w:lineRule="auto"/>
              <w:ind w:left="714" w:hanging="357"/>
              <w:rPr>
                <w:rFonts w:ascii="Arial" w:hAnsi="Arial" w:cs="Arial"/>
                <w:sz w:val="22"/>
                <w:szCs w:val="22"/>
                <w:lang w:val="es-ES"/>
              </w:rPr>
            </w:pPr>
            <w:r w:rsidRPr="00C717B5">
              <w:rPr>
                <w:rFonts w:ascii="Arial" w:hAnsi="Arial" w:cs="Arial"/>
                <w:sz w:val="22"/>
                <w:szCs w:val="22"/>
                <w:lang w:val="es-ES"/>
              </w:rPr>
              <w:t xml:space="preserve">expresiones para escribir un artículo informativo en general </w:t>
            </w:r>
          </w:p>
          <w:p w:rsidR="00A47F1E" w:rsidRPr="00C717B5" w:rsidRDefault="00A47F1E" w:rsidP="00A47F1E">
            <w:pPr>
              <w:widowControl w:val="0"/>
              <w:numPr>
                <w:ilvl w:val="0"/>
                <w:numId w:val="4"/>
              </w:numPr>
              <w:tabs>
                <w:tab w:val="left" w:pos="220"/>
                <w:tab w:val="left" w:pos="720"/>
              </w:tabs>
              <w:autoSpaceDE w:val="0"/>
              <w:autoSpaceDN w:val="0"/>
              <w:adjustRightInd w:val="0"/>
              <w:spacing w:line="276" w:lineRule="auto"/>
              <w:ind w:left="714" w:hanging="357"/>
              <w:rPr>
                <w:rFonts w:ascii="Arial" w:hAnsi="Arial" w:cs="Arial"/>
                <w:sz w:val="22"/>
                <w:szCs w:val="22"/>
                <w:lang w:val="es-ES"/>
              </w:rPr>
            </w:pPr>
            <w:r w:rsidRPr="00C717B5">
              <w:rPr>
                <w:rFonts w:ascii="Arial" w:hAnsi="Arial" w:cs="Arial"/>
                <w:sz w:val="22"/>
                <w:szCs w:val="22"/>
                <w:lang w:val="es-ES"/>
              </w:rPr>
              <w:t>léxico temático que te ayude a redactar tu artículo.</w:t>
            </w:r>
          </w:p>
          <w:p w:rsidR="00A47F1E" w:rsidRPr="00C717B5" w:rsidRDefault="00A47F1E" w:rsidP="00016EBE">
            <w:pPr>
              <w:pStyle w:val="Listenabsatz"/>
              <w:spacing w:before="60" w:after="60" w:line="240" w:lineRule="auto"/>
              <w:ind w:left="0"/>
              <w:contextualSpacing w:val="0"/>
              <w:rPr>
                <w:rFonts w:ascii="Arial" w:hAnsi="Arial" w:cs="Arial"/>
              </w:rPr>
            </w:pPr>
            <w:r w:rsidRPr="00E77CEA">
              <w:rPr>
                <w:rFonts w:ascii="Arial" w:hAnsi="Arial" w:cs="Arial"/>
              </w:rPr>
              <w:br/>
            </w:r>
            <w:r>
              <w:rPr>
                <w:rFonts w:ascii="Arial" w:hAnsi="Arial" w:cs="Arial"/>
                <w:i/>
                <w:sz w:val="20"/>
                <w:szCs w:val="20"/>
              </w:rPr>
              <w:t xml:space="preserve">Markiere im folgenden Text Ausdrücke und Wörter, die dir hilfreich für deinen eigenen Text erscheinen </w:t>
            </w:r>
            <w:r w:rsidRPr="00C717B5">
              <w:rPr>
                <w:rFonts w:ascii="Arial" w:hAnsi="Arial" w:cs="Arial"/>
                <w:i/>
                <w:sz w:val="20"/>
                <w:szCs w:val="20"/>
              </w:rPr>
              <w:t>– lege dir dann ein Glossar an.</w:t>
            </w:r>
          </w:p>
        </w:tc>
        <w:tc>
          <w:tcPr>
            <w:tcW w:w="936" w:type="dxa"/>
            <w:shd w:val="clear" w:color="auto" w:fill="auto"/>
          </w:tcPr>
          <w:p w:rsidR="00A47F1E" w:rsidRPr="00A2557F" w:rsidRDefault="00A47F1E" w:rsidP="00016EBE">
            <w:pPr>
              <w:pStyle w:val="Listenabsatz"/>
              <w:rPr>
                <w:rFonts w:ascii="Arial" w:hAnsi="Arial" w:cs="Arial"/>
              </w:rPr>
            </w:pPr>
          </w:p>
          <w:p w:rsidR="00A47F1E" w:rsidRPr="00A2557F" w:rsidRDefault="00A47F1E" w:rsidP="00016EBE">
            <w:pPr>
              <w:rPr>
                <w:rFonts w:ascii="Arial" w:hAnsi="Arial" w:cs="Arial"/>
                <w:sz w:val="22"/>
                <w:szCs w:val="22"/>
              </w:rPr>
            </w:pPr>
            <w:r w:rsidRPr="00A2557F">
              <w:rPr>
                <w:rFonts w:ascii="Arial" w:hAnsi="Arial" w:cs="Arial"/>
                <w:sz w:val="22"/>
                <w:szCs w:val="22"/>
              </w:rPr>
              <w:t xml:space="preserve">        </w:t>
            </w:r>
          </w:p>
        </w:tc>
      </w:tr>
    </w:tbl>
    <w:p w:rsidR="00A47F1E" w:rsidRDefault="00A47F1E" w:rsidP="00A47F1E">
      <w:pPr>
        <w:spacing w:before="120" w:after="120"/>
        <w:rPr>
          <w:rFonts w:ascii="Arial" w:hAnsi="Arial" w:cs="Arial"/>
          <w:sz w:val="22"/>
          <w:szCs w:val="22"/>
        </w:rPr>
      </w:pPr>
    </w:p>
    <w:p w:rsidR="00A47F1E" w:rsidRPr="00C717B5" w:rsidRDefault="00A47F1E" w:rsidP="00A47F1E">
      <w:pPr>
        <w:widowControl w:val="0"/>
        <w:autoSpaceDE w:val="0"/>
        <w:autoSpaceDN w:val="0"/>
        <w:adjustRightInd w:val="0"/>
        <w:spacing w:line="276" w:lineRule="auto"/>
        <w:ind w:right="-6"/>
        <w:rPr>
          <w:rFonts w:ascii="Arial" w:hAnsi="Arial" w:cs="Arial"/>
          <w:b/>
          <w:sz w:val="22"/>
          <w:szCs w:val="22"/>
          <w:lang w:val="es-ES"/>
        </w:rPr>
      </w:pPr>
      <w:r w:rsidRPr="00C717B5">
        <w:rPr>
          <w:rFonts w:ascii="Arial" w:hAnsi="Arial" w:cs="Arial"/>
          <w:b/>
          <w:color w:val="181818"/>
          <w:sz w:val="22"/>
          <w:szCs w:val="22"/>
          <w:lang w:val="es-ES"/>
        </w:rPr>
        <w:t>Festival de heavy metal en Wacken</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En el Wacken Open Air en Schleswig-Holstein chocan mundos completamente diferentes… lo que hace justamente su encanto.</w:t>
      </w:r>
    </w:p>
    <w:p w:rsidR="00A47F1E" w:rsidRPr="00C717B5" w:rsidRDefault="00A47F1E" w:rsidP="00A47F1E">
      <w:pPr>
        <w:widowControl w:val="0"/>
        <w:autoSpaceDE w:val="0"/>
        <w:autoSpaceDN w:val="0"/>
        <w:adjustRightInd w:val="0"/>
        <w:spacing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 xml:space="preserve">No podían ser más diferentes: por un lado Wacken, una aldea de algo menos de 2.000 </w:t>
      </w:r>
      <w:r w:rsidRPr="00C717B5">
        <w:rPr>
          <w:rFonts w:ascii="Arial" w:hAnsi="Arial" w:cs="Arial"/>
          <w:color w:val="000000" w:themeColor="text1"/>
          <w:sz w:val="22"/>
          <w:szCs w:val="22"/>
          <w:lang w:val="es-ES"/>
        </w:rPr>
        <w:t>habitantes</w:t>
      </w:r>
      <w:r w:rsidRPr="00C717B5">
        <w:rPr>
          <w:rFonts w:ascii="Arial" w:hAnsi="Arial" w:cs="Arial"/>
          <w:color w:val="181818"/>
          <w:sz w:val="22"/>
          <w:szCs w:val="22"/>
          <w:lang w:val="es-ES"/>
        </w:rPr>
        <w:t xml:space="preserve"> en Schleswig Holstein, en el norte de Alemania, rodeada de bosques y lagos. Por otro, unos 75.000 fans, en su mayoría jóvenes, amantes del heavy metal, que arribarán nuevamente este año el primer fin de semana de agosto. Mundos completamente diferentes chocan entre sí en Wacken desde hace 25 años. Pero el particular encanto del festival consiste justamente en que los </w:t>
      </w:r>
      <w:r w:rsidRPr="00C717B5">
        <w:rPr>
          <w:rFonts w:ascii="Arial" w:hAnsi="Arial" w:cs="Arial"/>
          <w:color w:val="000000" w:themeColor="text1"/>
          <w:sz w:val="22"/>
          <w:szCs w:val="22"/>
          <w:lang w:val="es-ES"/>
        </w:rPr>
        <w:t>habitantes</w:t>
      </w:r>
      <w:r w:rsidRPr="00C717B5">
        <w:rPr>
          <w:rFonts w:ascii="Arial" w:hAnsi="Arial" w:cs="Arial"/>
          <w:color w:val="181818"/>
          <w:sz w:val="22"/>
          <w:szCs w:val="22"/>
          <w:lang w:val="es-ES"/>
        </w:rPr>
        <w:t xml:space="preserve"> de la aldea y los fans del metal pesado han desarrollado una particular forma de coexistencia.</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Así lo muestra hermosamente Sung-Hyung Cho, directora de cine surcoreana residente en Alemania, en su documental “Full Metal Village”.  La banda local de vientos y los músicos de heavy metal tocan en el filme lado a lado. La película recibió varios premios y contribuyó decisivamente a que “Wacken” sea conocido hoy en toda Alemania, también por personas que poco tienen que ver con el heavy metal.</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Perfecta comercialización, incluidos viajes de crucero “heavy metal”</w:t>
      </w:r>
    </w:p>
    <w:p w:rsidR="00A47F1E" w:rsidRPr="00373C2A"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“Wacken” es también sinónimo de festival comercialmente muy exitoso. El número de visitantes ha aumentado constantemente en los últimos años, las entradas para 2015 se agotaron en doce horas. Aproximadamente un tercio de los visitantes y la mayoría de los grupos vienen del exterior. Y eso es solo el núcleo de todo. Los organizadores han creado pequeños “Wacken” en otros lugares y también existen una cerveza “Wacken Premium Pils” y una gran gama de productos de “merchandising” con la sigla “W:O:A”. Desde 2013 es posible asimismo participar en “Full Metal Cruises”: viajes en navíos de crucero para pasajeros amantes del heavy metal.</w:t>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p>
    <w:p w:rsidR="00A47F1E" w:rsidRPr="00C717B5" w:rsidRDefault="00A47F1E" w:rsidP="00A47F1E">
      <w:pPr>
        <w:widowControl w:val="0"/>
        <w:autoSpaceDE w:val="0"/>
        <w:autoSpaceDN w:val="0"/>
        <w:adjustRightInd w:val="0"/>
        <w:spacing w:line="276" w:lineRule="auto"/>
        <w:ind w:right="-6"/>
        <w:rPr>
          <w:rFonts w:ascii="Arial" w:hAnsi="Arial" w:cs="Arial"/>
          <w:sz w:val="18"/>
          <w:szCs w:val="18"/>
        </w:rPr>
      </w:pPr>
      <w:r w:rsidRPr="00C717B5">
        <w:rPr>
          <w:rFonts w:ascii="Arial" w:hAnsi="Arial" w:cs="Arial"/>
          <w:sz w:val="18"/>
          <w:szCs w:val="18"/>
        </w:rPr>
        <w:t>Quelle: https://www.deutschland.de/es/topic/vida/movilidad-viajes/festival-de-heavy-metal-en-wacken</w:t>
      </w:r>
    </w:p>
    <w:p w:rsidR="00A47F1E" w:rsidRPr="00C717B5" w:rsidRDefault="00A47F1E" w:rsidP="00A47F1E">
      <w:pPr>
        <w:widowControl w:val="0"/>
        <w:autoSpaceDE w:val="0"/>
        <w:autoSpaceDN w:val="0"/>
        <w:adjustRightInd w:val="0"/>
        <w:spacing w:line="276" w:lineRule="auto"/>
        <w:ind w:right="-6"/>
        <w:rPr>
          <w:rFonts w:ascii="Arial" w:hAnsi="Arial" w:cs="Arial"/>
          <w:color w:val="181818"/>
          <w:sz w:val="18"/>
          <w:szCs w:val="18"/>
        </w:rPr>
      </w:pPr>
      <w:r w:rsidRPr="00C717B5">
        <w:rPr>
          <w:rFonts w:ascii="Arial" w:hAnsi="Arial" w:cs="Arial"/>
          <w:sz w:val="18"/>
          <w:szCs w:val="18"/>
        </w:rPr>
        <w:t>© www.deutschland.de</w:t>
      </w:r>
    </w:p>
    <w:p w:rsidR="00ED7C49" w:rsidRDefault="00ED7C49" w:rsidP="00ED7C49">
      <w:pPr>
        <w:spacing w:line="276" w:lineRule="auto"/>
        <w:rPr>
          <w:u w:val="single"/>
        </w:rPr>
      </w:pPr>
    </w:p>
    <w:p w:rsidR="00ED7C49" w:rsidRPr="00A2557F" w:rsidRDefault="00ED7C49" w:rsidP="00ED7C49">
      <w:pPr>
        <w:spacing w:line="276" w:lineRule="auto"/>
        <w:rPr>
          <w:u w:val="single"/>
        </w:rPr>
      </w:pPr>
    </w:p>
    <w:p w:rsidR="00ED7C49" w:rsidRPr="00A47F1E" w:rsidRDefault="00ED7C49" w:rsidP="00ED7C49">
      <w:pPr>
        <w:rPr>
          <w:rFonts w:ascii="Arial" w:eastAsiaTheme="minorEastAsia" w:hAnsi="Arial" w:cs="Arial"/>
          <w:i/>
          <w:iCs/>
          <w:sz w:val="20"/>
          <w:szCs w:val="20"/>
          <w:lang w:eastAsia="de-DE"/>
        </w:rPr>
      </w:pPr>
    </w:p>
    <w:p w:rsidR="00ED7C49" w:rsidRDefault="00ED7C49" w:rsidP="00ED7C49">
      <w:pPr>
        <w:spacing w:line="276" w:lineRule="auto"/>
        <w:rPr>
          <w:u w:val="single"/>
        </w:rPr>
      </w:pPr>
    </w:p>
    <w:p w:rsidR="00ED7C49" w:rsidRDefault="00ED7C49" w:rsidP="00ED7C49">
      <w:pPr>
        <w:spacing w:line="276" w:lineRule="auto"/>
        <w:rPr>
          <w:u w:val="single"/>
        </w:rPr>
      </w:pPr>
    </w:p>
    <w:p w:rsidR="00ED7C49" w:rsidRDefault="00ED7C49"/>
    <w:sectPr w:rsidR="00ED7C49"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AD" w:rsidRDefault="00C01FAD" w:rsidP="006004F9">
      <w:r>
        <w:separator/>
      </w:r>
    </w:p>
  </w:endnote>
  <w:endnote w:type="continuationSeparator" w:id="0">
    <w:p w:rsidR="00C01FAD" w:rsidRDefault="00C01FAD" w:rsidP="006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AD" w:rsidRDefault="00C01FAD" w:rsidP="006004F9">
      <w:r>
        <w:separator/>
      </w:r>
    </w:p>
  </w:footnote>
  <w:footnote w:type="continuationSeparator" w:id="0">
    <w:p w:rsidR="00C01FAD" w:rsidRDefault="00C01FAD" w:rsidP="0060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6004F9">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2E53C6">
                                <w:rPr>
                                  <w:b/>
                                  <w:caps/>
                                  <w:spacing w:val="20"/>
                                  <w:sz w:val="28"/>
                                  <w:szCs w:val="28"/>
                                </w:rPr>
                                <w:t>5</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2E53C6">
                          <w:rPr>
                            <w:b/>
                            <w:caps/>
                            <w:spacing w:val="20"/>
                            <w:sz w:val="28"/>
                            <w:szCs w:val="28"/>
                          </w:rPr>
                          <w:t>5</w:t>
                        </w:r>
                      </w:p>
                    </w:sdtContent>
                  </w:sdt>
                </w:txbxContent>
              </v:textbox>
              <w10:wrap anchorx="page" anchory="page"/>
            </v:rect>
          </w:pict>
        </mc:Fallback>
      </mc:AlternateContent>
    </w:r>
  </w:p>
  <w:p w:rsidR="006004F9" w:rsidRDefault="00600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DEE"/>
    <w:multiLevelType w:val="hybridMultilevel"/>
    <w:tmpl w:val="B64E7F5E"/>
    <w:lvl w:ilvl="0" w:tplc="820A4E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D5F48"/>
    <w:multiLevelType w:val="hybridMultilevel"/>
    <w:tmpl w:val="D776719E"/>
    <w:lvl w:ilvl="0" w:tplc="9B684A8C">
      <w:start w:val="1"/>
      <w:numFmt w:val="bullet"/>
      <w:lvlText w:val="á"/>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025CA"/>
    <w:multiLevelType w:val="hybridMultilevel"/>
    <w:tmpl w:val="ED684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FF0046"/>
    <w:multiLevelType w:val="hybridMultilevel"/>
    <w:tmpl w:val="6E484F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9"/>
    <w:rsid w:val="001655DB"/>
    <w:rsid w:val="002E53C6"/>
    <w:rsid w:val="00426A50"/>
    <w:rsid w:val="006004F9"/>
    <w:rsid w:val="009D5602"/>
    <w:rsid w:val="00A3226C"/>
    <w:rsid w:val="00A47F1E"/>
    <w:rsid w:val="00C01FAD"/>
    <w:rsid w:val="00DD0E8E"/>
    <w:rsid w:val="00E77CEA"/>
    <w:rsid w:val="00ED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B5DD5-0491-3C4E-959F-4677036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C49"/>
    <w:pPr>
      <w:spacing w:after="200" w:line="276" w:lineRule="auto"/>
      <w:ind w:left="720"/>
      <w:contextualSpacing/>
    </w:pPr>
    <w:rPr>
      <w:sz w:val="22"/>
      <w:szCs w:val="22"/>
    </w:rPr>
  </w:style>
  <w:style w:type="table" w:styleId="Tabellenraster">
    <w:name w:val="Table Grid"/>
    <w:basedOn w:val="NormaleTabelle"/>
    <w:uiPriority w:val="59"/>
    <w:rsid w:val="00ED7C4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4F9"/>
    <w:pPr>
      <w:tabs>
        <w:tab w:val="center" w:pos="4536"/>
        <w:tab w:val="right" w:pos="9072"/>
      </w:tabs>
    </w:pPr>
  </w:style>
  <w:style w:type="character" w:customStyle="1" w:styleId="KopfzeileZchn">
    <w:name w:val="Kopfzeile Zchn"/>
    <w:basedOn w:val="Absatz-Standardschriftart"/>
    <w:link w:val="Kopfzeile"/>
    <w:uiPriority w:val="99"/>
    <w:rsid w:val="006004F9"/>
  </w:style>
  <w:style w:type="paragraph" w:styleId="Fuzeile">
    <w:name w:val="footer"/>
    <w:basedOn w:val="Standard"/>
    <w:link w:val="FuzeileZchn"/>
    <w:uiPriority w:val="99"/>
    <w:unhideWhenUsed/>
    <w:rsid w:val="006004F9"/>
    <w:pPr>
      <w:tabs>
        <w:tab w:val="center" w:pos="4536"/>
        <w:tab w:val="right" w:pos="9072"/>
      </w:tabs>
    </w:pPr>
  </w:style>
  <w:style w:type="character" w:customStyle="1" w:styleId="FuzeileZchn">
    <w:name w:val="Fußzeile Zchn"/>
    <w:basedOn w:val="Absatz-Standardschriftart"/>
    <w:link w:val="Fuzeile"/>
    <w:uiPriority w:val="99"/>
    <w:rsid w:val="006004F9"/>
  </w:style>
  <w:style w:type="paragraph" w:styleId="KeinLeerraum">
    <w:name w:val="No Spacing"/>
    <w:uiPriority w:val="1"/>
    <w:qFormat/>
    <w:rsid w:val="006004F9"/>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Sprachmittlung Arbeitsblatt 5</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5</dc:title>
  <dc:subject/>
  <dc:creator>Microsoft Office User</dc:creator>
  <cp:keywords/>
  <dc:description/>
  <cp:lastModifiedBy>N. R.</cp:lastModifiedBy>
  <cp:revision>2</cp:revision>
  <dcterms:created xsi:type="dcterms:W3CDTF">2020-04-17T09:54:00Z</dcterms:created>
  <dcterms:modified xsi:type="dcterms:W3CDTF">2020-04-17T09:54:00Z</dcterms:modified>
</cp:coreProperties>
</file>